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44A2" w14:textId="77777777" w:rsidR="00436EE9" w:rsidRDefault="00436EE9">
      <w:pPr>
        <w:rPr>
          <w:u w:val="single"/>
        </w:rPr>
      </w:pPr>
    </w:p>
    <w:p w14:paraId="3EE00B38" w14:textId="77777777" w:rsidR="00436EE9" w:rsidRDefault="00436EE9">
      <w:pPr>
        <w:rPr>
          <w:u w:val="single"/>
        </w:rPr>
      </w:pPr>
    </w:p>
    <w:p w14:paraId="248CF178" w14:textId="1318F0F1" w:rsidR="004161B5" w:rsidRPr="00B01D78" w:rsidRDefault="000E57D9">
      <w:pPr>
        <w:rPr>
          <w:u w:val="single"/>
        </w:rPr>
      </w:pPr>
      <w:r w:rsidRPr="00B01D78">
        <w:rPr>
          <w:u w:val="single"/>
        </w:rPr>
        <w:t>May 1, 2020</w:t>
      </w:r>
    </w:p>
    <w:p w14:paraId="1118C781" w14:textId="77777777" w:rsidR="00436EE9" w:rsidRDefault="00436EE9"/>
    <w:p w14:paraId="135229E1" w14:textId="341B29A1" w:rsidR="00B47540" w:rsidRDefault="00B47540">
      <w:r>
        <w:t xml:space="preserve">The results of </w:t>
      </w:r>
      <w:r w:rsidR="0065456E">
        <w:t>our Financial Survey underscore</w:t>
      </w:r>
      <w:r>
        <w:t xml:space="preserve"> the message that our members need to be </w:t>
      </w:r>
      <w:r w:rsidR="002F0299">
        <w:t xml:space="preserve">prepared both financially and operationally </w:t>
      </w:r>
      <w:r>
        <w:t xml:space="preserve">in order to survive the global pandemic and maintain the ability to resume operations when it is safe to do so. </w:t>
      </w:r>
    </w:p>
    <w:p w14:paraId="1BF47FA3" w14:textId="5034C6CE" w:rsidR="002F0299" w:rsidRDefault="00B47540">
      <w:pPr>
        <w:rPr>
          <w:b/>
        </w:rPr>
      </w:pPr>
      <w:r>
        <w:t xml:space="preserve">Survey respondents expect consumer demand to remain </w:t>
      </w:r>
      <w:r w:rsidR="0065456E">
        <w:t xml:space="preserve">depressed for more than six </w:t>
      </w:r>
      <w:r w:rsidR="002F0299">
        <w:t xml:space="preserve">to </w:t>
      </w:r>
      <w:r w:rsidR="0065456E">
        <w:t>nine months</w:t>
      </w:r>
      <w:r w:rsidR="002F0299">
        <w:t>,</w:t>
      </w:r>
      <w:r w:rsidR="0065456E">
        <w:t xml:space="preserve"> or more.</w:t>
      </w:r>
      <w:r>
        <w:t xml:space="preserve"> </w:t>
      </w:r>
      <w:r w:rsidR="0065456E">
        <w:t xml:space="preserve"> While no one has a crystal </w:t>
      </w:r>
      <w:proofErr w:type="gramStart"/>
      <w:r w:rsidR="0065456E">
        <w:t>ball,</w:t>
      </w:r>
      <w:r w:rsidR="00436EE9">
        <w:t xml:space="preserve"> </w:t>
      </w:r>
      <w:r w:rsidR="0065456E">
        <w:t>or</w:t>
      </w:r>
      <w:proofErr w:type="gramEnd"/>
      <w:r w:rsidR="0065456E">
        <w:t xml:space="preserve"> can predict how quickly </w:t>
      </w:r>
      <w:r w:rsidR="00857F4F">
        <w:t xml:space="preserve">consumer confidence will return and begin to restore economic demand, it is important to note that this is an early “gut feel.” </w:t>
      </w:r>
      <w:r w:rsidR="0065456E">
        <w:t xml:space="preserve"> </w:t>
      </w:r>
      <w:r w:rsidR="00857F4F">
        <w:t xml:space="preserve">What remains clear is that we each have control over our own actions and our sources of information. As such, we recommend that our members implement a critical 30-day reopening plan in the immediate term.  </w:t>
      </w:r>
    </w:p>
    <w:p w14:paraId="11422C63" w14:textId="77777777" w:rsidR="007759C2" w:rsidRPr="007759C2" w:rsidRDefault="002F0299" w:rsidP="007759C2">
      <w:r w:rsidRPr="007759C2">
        <w:rPr>
          <w:b/>
        </w:rPr>
        <w:t>What to do in the next 30 days</w:t>
      </w:r>
    </w:p>
    <w:p w14:paraId="46158952" w14:textId="32AD9C72" w:rsidR="002F0299" w:rsidRDefault="00F14D9A" w:rsidP="007759C2">
      <w:pPr>
        <w:pStyle w:val="ListParagraph"/>
        <w:numPr>
          <w:ilvl w:val="0"/>
          <w:numId w:val="2"/>
        </w:numPr>
      </w:pPr>
      <w:r>
        <w:t>I</w:t>
      </w:r>
      <w:r w:rsidR="002F0299">
        <w:t>mplement a critical 30-day reopening plan.</w:t>
      </w:r>
    </w:p>
    <w:p w14:paraId="05F89CC0" w14:textId="15496D47" w:rsidR="002F0299" w:rsidRDefault="002F0299" w:rsidP="007759C2">
      <w:pPr>
        <w:pStyle w:val="ListParagraph"/>
        <w:numPr>
          <w:ilvl w:val="0"/>
          <w:numId w:val="2"/>
        </w:numPr>
      </w:pPr>
      <w:r>
        <w:t xml:space="preserve">Get educated about the numerous government programs, </w:t>
      </w:r>
      <w:proofErr w:type="gramStart"/>
      <w:r>
        <w:t>subsidies</w:t>
      </w:r>
      <w:proofErr w:type="gramEnd"/>
      <w:r>
        <w:t xml:space="preserve"> and funding streams currently available.</w:t>
      </w:r>
    </w:p>
    <w:p w14:paraId="3CF20A6B" w14:textId="41DE11A7" w:rsidR="002F0299" w:rsidRDefault="002F0299" w:rsidP="007759C2">
      <w:pPr>
        <w:pStyle w:val="ListParagraph"/>
        <w:numPr>
          <w:ilvl w:val="0"/>
          <w:numId w:val="2"/>
        </w:numPr>
      </w:pPr>
      <w:r>
        <w:t xml:space="preserve">Create a 13-week integrated cash flow model, and update this at least weekly if not daily. </w:t>
      </w:r>
    </w:p>
    <w:p w14:paraId="7F57FA19" w14:textId="162EA4B7" w:rsidR="002F0299" w:rsidRDefault="002F0299" w:rsidP="007759C2">
      <w:pPr>
        <w:pStyle w:val="ListParagraph"/>
        <w:numPr>
          <w:ilvl w:val="0"/>
          <w:numId w:val="2"/>
        </w:numPr>
      </w:pPr>
      <w:r>
        <w:t>Reach out to your Financial Institution, BDC and EDC to determine what lending options are available to you, including:</w:t>
      </w:r>
    </w:p>
    <w:p w14:paraId="1671B54F" w14:textId="59E61ED5" w:rsidR="002F0299" w:rsidRDefault="002F0299" w:rsidP="007759C2">
      <w:pPr>
        <w:pStyle w:val="ListParagraph"/>
        <w:numPr>
          <w:ilvl w:val="1"/>
          <w:numId w:val="2"/>
        </w:numPr>
      </w:pPr>
      <w:r>
        <w:t>BCAP – Business Credit Availability Program</w:t>
      </w:r>
      <w:r w:rsidR="00F14D9A">
        <w:t>: small and medium enterprise loan guarantee program</w:t>
      </w:r>
    </w:p>
    <w:p w14:paraId="6C39B196" w14:textId="713FEE66" w:rsidR="00F14D9A" w:rsidRDefault="00F14D9A" w:rsidP="007759C2">
      <w:pPr>
        <w:pStyle w:val="ListParagraph"/>
        <w:numPr>
          <w:ilvl w:val="1"/>
          <w:numId w:val="2"/>
        </w:numPr>
      </w:pPr>
      <w:r>
        <w:t>BCAP Canada Emergency Business Account</w:t>
      </w:r>
    </w:p>
    <w:p w14:paraId="72703864" w14:textId="3BF6E464" w:rsidR="00F14D9A" w:rsidRPr="007759C2" w:rsidRDefault="00F14D9A" w:rsidP="007759C2">
      <w:pPr>
        <w:pStyle w:val="ListParagraph"/>
        <w:numPr>
          <w:ilvl w:val="1"/>
          <w:numId w:val="2"/>
        </w:numPr>
      </w:pPr>
      <w:r>
        <w:t>BDC Working Capital COVID Loan</w:t>
      </w:r>
    </w:p>
    <w:p w14:paraId="6BEB4E37" w14:textId="2FCC21B8" w:rsidR="00F14D9A" w:rsidRDefault="00F14D9A">
      <w:proofErr w:type="gramStart"/>
      <w:r>
        <w:t>The vast majority of</w:t>
      </w:r>
      <w:proofErr w:type="gramEnd"/>
      <w:r>
        <w:t xml:space="preserve"> government programs have been defined. We do not anticipate many new funding launches; however, we may see programs tweaked as we move along the “Back to Work” curve.</w:t>
      </w:r>
    </w:p>
    <w:p w14:paraId="6D35D97E" w14:textId="0BD223DC" w:rsidR="00F14D9A" w:rsidRDefault="00F14D9A">
      <w:r>
        <w:t xml:space="preserve">The survey results </w:t>
      </w:r>
      <w:r w:rsidRPr="001D084E">
        <w:t>point to</w:t>
      </w:r>
      <w:r w:rsidR="007759C2" w:rsidRPr="001D084E">
        <w:t xml:space="preserve"> current</w:t>
      </w:r>
      <w:r w:rsidRPr="001D084E">
        <w:t xml:space="preserve"> resiliency in the industry, specifically evidenced by positive responses about the ability to collect accounts receivable balances within normal terms and high level of government funding program activity.</w:t>
      </w:r>
      <w:r w:rsidR="007759C2" w:rsidRPr="001D084E">
        <w:t xml:space="preserve">  This </w:t>
      </w:r>
      <w:proofErr w:type="gramStart"/>
      <w:r w:rsidR="007759C2" w:rsidRPr="001D084E">
        <w:t>particular situation</w:t>
      </w:r>
      <w:proofErr w:type="gramEnd"/>
      <w:r w:rsidR="007759C2" w:rsidRPr="001D084E">
        <w:t xml:space="preserve"> is dynamic and will require daily/weekly update.</w:t>
      </w:r>
      <w:r>
        <w:t xml:space="preserve">  As a point of interest, 40% of respondents noted there are gaps in available funding.  Respondents may be predicting a deterioration in their normal cash conversion cycles due to a likely cash drop related to regular sales cycles, furloughed employees or a restricted or reduced work environment. We will continue to monitor this key metric over the coming </w:t>
      </w:r>
      <w:proofErr w:type="gramStart"/>
      <w:r>
        <w:t>weeks, and</w:t>
      </w:r>
      <w:proofErr w:type="gramEnd"/>
      <w:r>
        <w:t xml:space="preserve"> try to determine where the perceived gaps exist.  </w:t>
      </w:r>
    </w:p>
    <w:p w14:paraId="7D03690C" w14:textId="1AE479B1" w:rsidR="00F14D9A" w:rsidRDefault="00F14D9A">
      <w:r>
        <w:t xml:space="preserve">The focus for the business should remain on liquidity and the preparation of integrated cash flow models to support the likely need for future assistance from their financial institutions. </w:t>
      </w:r>
      <w:r w:rsidR="00671D63">
        <w:t xml:space="preserve"> To date, 88% of respondents have not received an increase to their operating lines of credit or any interest relief or deferrals from their current financial institution, and 40% have not reached out to their primary bank. </w:t>
      </w:r>
    </w:p>
    <w:p w14:paraId="1F206E3B" w14:textId="14C84FB4" w:rsidR="00671D63" w:rsidRDefault="00671D63">
      <w:r>
        <w:lastRenderedPageBreak/>
        <w:t xml:space="preserve">Our recommendations as laid out in this document, and in the </w:t>
      </w:r>
      <w:hyperlink r:id="rId7" w:history="1">
        <w:r>
          <w:rPr>
            <w:rStyle w:val="Hyperlink"/>
          </w:rPr>
          <w:t>Ask Us Anything: Financial and Government Programs</w:t>
        </w:r>
      </w:hyperlink>
      <w:r>
        <w:t xml:space="preserve"> webinar on Tuesday, April 28</w:t>
      </w:r>
      <w:r w:rsidRPr="007759C2">
        <w:rPr>
          <w:vertAlign w:val="superscript"/>
        </w:rPr>
        <w:t>th</w:t>
      </w:r>
      <w:r>
        <w:t xml:space="preserve">. If you missed this informative session, you </w:t>
      </w:r>
      <w:proofErr w:type="gramStart"/>
      <w:r>
        <w:t>can</w:t>
      </w:r>
      <w:proofErr w:type="gramEnd"/>
      <w:r>
        <w:t xml:space="preserve"> view it on our YouTube channel or by clicking the link above. </w:t>
      </w:r>
    </w:p>
    <w:p w14:paraId="4F77E155" w14:textId="77777777" w:rsidR="00F14D9A" w:rsidRDefault="00F14D9A"/>
    <w:p w14:paraId="0B981F26" w14:textId="6A9C825D" w:rsidR="00AF1697" w:rsidRDefault="00AF1697" w:rsidP="007759C2"/>
    <w:sectPr w:rsidR="00AF16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2C7B0" w14:textId="77777777" w:rsidR="00853AFA" w:rsidRDefault="00853AFA" w:rsidP="00436EE9">
      <w:pPr>
        <w:spacing w:after="0" w:line="240" w:lineRule="auto"/>
      </w:pPr>
      <w:r>
        <w:separator/>
      </w:r>
    </w:p>
  </w:endnote>
  <w:endnote w:type="continuationSeparator" w:id="0">
    <w:p w14:paraId="6CE03581" w14:textId="77777777" w:rsidR="00853AFA" w:rsidRDefault="00853AFA" w:rsidP="0043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87C6" w14:textId="77777777" w:rsidR="00853AFA" w:rsidRDefault="00853AFA" w:rsidP="00436EE9">
      <w:pPr>
        <w:spacing w:after="0" w:line="240" w:lineRule="auto"/>
      </w:pPr>
      <w:r>
        <w:separator/>
      </w:r>
    </w:p>
  </w:footnote>
  <w:footnote w:type="continuationSeparator" w:id="0">
    <w:p w14:paraId="658BB2AC" w14:textId="77777777" w:rsidR="00853AFA" w:rsidRDefault="00853AFA" w:rsidP="00436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BD33" w14:textId="13CDAC68" w:rsidR="00436EE9" w:rsidRDefault="00436EE9" w:rsidP="00436EE9">
    <w:pPr>
      <w:pStyle w:val="Header"/>
      <w:jc w:val="center"/>
    </w:pPr>
    <w:r>
      <w:rPr>
        <w:noProof/>
      </w:rPr>
      <w:drawing>
        <wp:inline distT="0" distB="0" distL="0" distR="0" wp14:anchorId="4C805333" wp14:editId="535765DC">
          <wp:extent cx="1098550" cy="854270"/>
          <wp:effectExtent l="0" t="0" r="6350" b="317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omateCanada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17" cy="859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E52870" wp14:editId="5FD1EF14">
          <wp:extent cx="1834750" cy="85798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M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192" cy="887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D9C"/>
    <w:multiLevelType w:val="hybridMultilevel"/>
    <w:tmpl w:val="C624F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529FB"/>
    <w:multiLevelType w:val="multilevel"/>
    <w:tmpl w:val="72F817F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D9"/>
    <w:rsid w:val="000E51D3"/>
    <w:rsid w:val="000E57D9"/>
    <w:rsid w:val="000F443B"/>
    <w:rsid w:val="001A3995"/>
    <w:rsid w:val="001D084E"/>
    <w:rsid w:val="002F0299"/>
    <w:rsid w:val="003562E9"/>
    <w:rsid w:val="00372439"/>
    <w:rsid w:val="00402325"/>
    <w:rsid w:val="00434BB7"/>
    <w:rsid w:val="00436EE9"/>
    <w:rsid w:val="005B33EB"/>
    <w:rsid w:val="005B623A"/>
    <w:rsid w:val="005D56CC"/>
    <w:rsid w:val="0065456E"/>
    <w:rsid w:val="00671D63"/>
    <w:rsid w:val="006B1ABD"/>
    <w:rsid w:val="006C6A91"/>
    <w:rsid w:val="00766DF8"/>
    <w:rsid w:val="007759C2"/>
    <w:rsid w:val="00853AFA"/>
    <w:rsid w:val="00857F4F"/>
    <w:rsid w:val="00951B32"/>
    <w:rsid w:val="00AF1697"/>
    <w:rsid w:val="00B01D78"/>
    <w:rsid w:val="00B47540"/>
    <w:rsid w:val="00C04801"/>
    <w:rsid w:val="00D07A2E"/>
    <w:rsid w:val="00D4744A"/>
    <w:rsid w:val="00F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1E881"/>
  <w15:chartTrackingRefBased/>
  <w15:docId w15:val="{B682B2BC-FF45-42FE-8C44-0ABFFDA0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1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5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5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4754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71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EE9"/>
  </w:style>
  <w:style w:type="paragraph" w:styleId="Footer">
    <w:name w:val="footer"/>
    <w:basedOn w:val="Normal"/>
    <w:link w:val="FooterChar"/>
    <w:uiPriority w:val="99"/>
    <w:unhideWhenUsed/>
    <w:rsid w:val="0043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t1ZO8YgUc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Grech</dc:creator>
  <cp:keywords/>
  <dc:description/>
  <cp:lastModifiedBy>CAMM Information</cp:lastModifiedBy>
  <cp:revision>3</cp:revision>
  <dcterms:created xsi:type="dcterms:W3CDTF">2020-05-06T13:40:00Z</dcterms:created>
  <dcterms:modified xsi:type="dcterms:W3CDTF">2020-05-06T16:26:00Z</dcterms:modified>
</cp:coreProperties>
</file>